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right"/>
        <w:rPr>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
          <w:bCs/>
          <w:sz w:val="32"/>
          <w:szCs w:val="32"/>
          <w:lang w:val="en-US" w:eastAsia="zh-CN"/>
        </w:rPr>
      </w:pPr>
      <w:r>
        <w:rPr>
          <w:rFonts w:hint="eastAsia" w:ascii="Times New Roman" w:hAnsi="Times New Roman" w:eastAsia="方正小标宋简体" w:cs="方正小标宋简体"/>
          <w:b/>
          <w:bCs/>
          <w:sz w:val="32"/>
          <w:szCs w:val="32"/>
          <w:lang w:val="en-US" w:eastAsia="zh-CN"/>
        </w:rPr>
        <w:t>关于开展全国高中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
          <w:bCs/>
          <w:sz w:val="32"/>
          <w:szCs w:val="32"/>
          <w:lang w:val="en-US" w:eastAsia="zh-CN"/>
        </w:rPr>
      </w:pPr>
      <w:r>
        <w:rPr>
          <w:rFonts w:hint="eastAsia" w:ascii="Times New Roman" w:hAnsi="Times New Roman" w:eastAsia="方正小标宋简体" w:cs="方正小标宋简体"/>
          <w:b/>
          <w:bCs/>
          <w:sz w:val="32"/>
          <w:szCs w:val="32"/>
          <w:lang w:val="en-US" w:eastAsia="zh-CN"/>
        </w:rPr>
        <w:t>“大单元教学设计指导种子教师”高级研修班通知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方正小标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b w:val="0"/>
          <w:sz w:val="28"/>
          <w:szCs w:val="28"/>
          <w:lang w:eastAsia="zh-CN"/>
        </w:rPr>
      </w:pPr>
      <w:r>
        <w:rPr>
          <w:rFonts w:hint="eastAsia" w:ascii="仿宋_GB2312" w:hAnsi="仿宋_GB2312" w:eastAsia="仿宋_GB2312"/>
          <w:b w:val="0"/>
          <w:sz w:val="28"/>
          <w:szCs w:val="28"/>
          <w:lang w:eastAsia="zh-CN"/>
        </w:rPr>
        <w:t>各高中：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众所周知，大单元教学是以单元为学习单位，依据学科课程标准，聚焦学科课程核心素养，围绕某一主题或对大概念教学内容进行整体思考、设计和组织实施的教学，因此，大单元教学就是要改变传统的分散教学模式，加强整合教学，打破过去分科教学和单一技能训练模式，重视课程内容的结构化统整，重视学科实践和跨学科学习，因此教师需要明确大单元教学的目的，才能够更好地开展教学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b w:val="0"/>
          <w:sz w:val="28"/>
          <w:szCs w:val="28"/>
        </w:rPr>
      </w:pPr>
      <w:r>
        <w:rPr>
          <w:rFonts w:hint="eastAsia" w:ascii="仿宋_GB2312" w:hAnsi="仿宋_GB2312" w:eastAsia="仿宋_GB2312"/>
          <w:b w:val="0"/>
          <w:sz w:val="28"/>
          <w:szCs w:val="28"/>
          <w:lang w:eastAsia="zh-CN"/>
        </w:rPr>
        <w:t>为帮助高中学校培养一批大单元教学设计者，提升高中教师教学能力，</w:t>
      </w:r>
      <w:r>
        <w:rPr>
          <w:rFonts w:hint="eastAsia" w:ascii="仿宋_GB2312" w:hAnsi="仿宋_GB2312" w:eastAsia="仿宋_GB2312"/>
          <w:b w:val="0"/>
          <w:sz w:val="28"/>
          <w:szCs w:val="28"/>
        </w:rPr>
        <w:t>使其快速成为</w:t>
      </w:r>
      <w:r>
        <w:rPr>
          <w:rFonts w:hint="eastAsia" w:ascii="仿宋_GB2312" w:hAnsi="仿宋_GB2312" w:eastAsia="仿宋_GB2312"/>
          <w:b w:val="0"/>
          <w:sz w:val="28"/>
          <w:szCs w:val="28"/>
          <w:lang w:eastAsia="zh-CN"/>
        </w:rPr>
        <w:t>创新教育的</w:t>
      </w:r>
      <w:r>
        <w:rPr>
          <w:rFonts w:hint="eastAsia" w:ascii="仿宋_GB2312" w:hAnsi="仿宋_GB2312" w:eastAsia="仿宋_GB2312"/>
          <w:b w:val="0"/>
          <w:sz w:val="28"/>
          <w:szCs w:val="28"/>
        </w:rPr>
        <w:t>实践者和带头人，发挥指导、引领和辐射带动作用，</w:t>
      </w:r>
      <w:r>
        <w:rPr>
          <w:rFonts w:hint="eastAsia" w:ascii="仿宋_GB2312" w:hAnsi="仿宋_GB2312" w:eastAsia="仿宋_GB2312"/>
          <w:b w:val="0"/>
          <w:sz w:val="28"/>
          <w:szCs w:val="28"/>
          <w:lang w:eastAsia="zh-CN"/>
        </w:rPr>
        <w:t>全国中小学名师培训网</w:t>
      </w:r>
      <w:r>
        <w:rPr>
          <w:rFonts w:hint="eastAsia" w:ascii="仿宋_GB2312" w:hAnsi="仿宋_GB2312" w:eastAsia="仿宋_GB2312"/>
          <w:b w:val="0"/>
          <w:sz w:val="28"/>
          <w:szCs w:val="28"/>
        </w:rPr>
        <w:t>决定</w:t>
      </w:r>
      <w:r>
        <w:rPr>
          <w:rFonts w:hint="eastAsia" w:ascii="仿宋_GB2312" w:hAnsi="仿宋_GB2312" w:eastAsia="仿宋_GB2312"/>
          <w:b w:val="0"/>
          <w:sz w:val="28"/>
          <w:szCs w:val="28"/>
          <w:lang w:val="en-US" w:eastAsia="zh-CN"/>
        </w:rPr>
        <w:t>6月12日</w:t>
      </w:r>
      <w:r>
        <w:rPr>
          <w:rFonts w:hint="eastAsia" w:ascii="仿宋_GB2312" w:hAnsi="仿宋_GB2312" w:eastAsia="仿宋_GB2312"/>
          <w:b w:val="0"/>
          <w:sz w:val="28"/>
          <w:szCs w:val="28"/>
        </w:rPr>
        <w:t>在</w:t>
      </w:r>
      <w:r>
        <w:rPr>
          <w:rFonts w:hint="eastAsia" w:ascii="仿宋_GB2312" w:hAnsi="仿宋_GB2312" w:eastAsia="仿宋_GB2312"/>
          <w:b w:val="0"/>
          <w:sz w:val="28"/>
          <w:szCs w:val="28"/>
          <w:lang w:eastAsia="zh-CN"/>
        </w:rPr>
        <w:t>厦门</w:t>
      </w:r>
      <w:r>
        <w:rPr>
          <w:rFonts w:hint="eastAsia" w:ascii="仿宋_GB2312" w:hAnsi="仿宋_GB2312" w:eastAsia="仿宋_GB2312"/>
          <w:b w:val="0"/>
          <w:sz w:val="28"/>
          <w:szCs w:val="28"/>
        </w:rPr>
        <w:t>市举办</w:t>
      </w:r>
      <w:r>
        <w:rPr>
          <w:rFonts w:hint="eastAsia" w:ascii="仿宋_GB2312" w:hAnsi="仿宋_GB2312" w:eastAsia="仿宋_GB2312"/>
          <w:b w:val="0"/>
          <w:sz w:val="28"/>
          <w:szCs w:val="28"/>
          <w:lang w:eastAsia="zh-CN"/>
        </w:rPr>
        <w:t>全国高中</w:t>
      </w:r>
      <w:r>
        <w:rPr>
          <w:rFonts w:hint="eastAsia" w:ascii="仿宋_GB2312" w:hAnsi="仿宋_GB2312" w:eastAsia="仿宋_GB2312"/>
          <w:b w:val="0"/>
          <w:sz w:val="28"/>
          <w:szCs w:val="28"/>
        </w:rPr>
        <w:t>“</w:t>
      </w:r>
      <w:r>
        <w:rPr>
          <w:rFonts w:hint="eastAsia" w:ascii="仿宋_GB2312" w:hAnsi="仿宋_GB2312" w:eastAsia="仿宋_GB2312"/>
          <w:b w:val="0"/>
          <w:sz w:val="28"/>
          <w:szCs w:val="28"/>
          <w:lang w:eastAsia="zh-CN"/>
        </w:rPr>
        <w:t>大单元教学设计指导种子教师”</w:t>
      </w:r>
      <w:r>
        <w:rPr>
          <w:rFonts w:hint="eastAsia" w:ascii="仿宋_GB2312" w:hAnsi="仿宋_GB2312" w:eastAsia="仿宋_GB2312"/>
          <w:b w:val="0"/>
          <w:sz w:val="28"/>
          <w:szCs w:val="28"/>
        </w:rPr>
        <w:t>高级研修班。</w:t>
      </w:r>
      <w:r>
        <w:rPr>
          <w:rFonts w:hint="eastAsia" w:ascii="仿宋_GB2312" w:hAnsi="仿宋_GB2312" w:eastAsia="仿宋_GB2312"/>
          <w:b w:val="0"/>
          <w:sz w:val="28"/>
          <w:szCs w:val="28"/>
          <w:lang w:eastAsia="zh-CN"/>
        </w:rPr>
        <w:t>此次培训，将对大单元教学的理念、学科设计能力、任务设计能力、课程规划能力、学生学习评价能力等进行深度研修。</w:t>
      </w:r>
      <w:r>
        <w:rPr>
          <w:rFonts w:hint="eastAsia" w:ascii="仿宋_GB2312" w:hAnsi="仿宋_GB2312" w:eastAsia="仿宋_GB2312"/>
          <w:b w:val="0"/>
          <w:sz w:val="28"/>
          <w:szCs w:val="28"/>
        </w:rPr>
        <w:t>现将有关事项通知如下：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仿宋_GB2312" w:hAnsi="仿宋_GB2312" w:eastAsia="仿宋_GB2312"/>
          <w:sz w:val="28"/>
          <w:szCs w:val="28"/>
        </w:rPr>
      </w:pPr>
      <w:r>
        <w:rPr>
          <w:rStyle w:val="11"/>
          <w:rFonts w:hint="eastAsia"/>
        </w:rPr>
        <w:t>一、主办单位：</w:t>
      </w:r>
      <w:r>
        <w:rPr>
          <w:rFonts w:hint="eastAsia" w:ascii="仿宋_GB2312" w:hAnsi="仿宋_GB2312" w:eastAsia="仿宋_GB2312"/>
          <w:sz w:val="28"/>
          <w:szCs w:val="28"/>
        </w:rPr>
        <w:t>全国中小学名师培训网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黑体" w:hAnsi="黑体" w:eastAsia="仿宋_GB2312"/>
          <w:b/>
          <w:sz w:val="28"/>
          <w:szCs w:val="28"/>
          <w:lang w:eastAsia="zh-CN"/>
        </w:rPr>
      </w:pPr>
      <w:r>
        <w:rPr>
          <w:rStyle w:val="11"/>
          <w:rFonts w:hint="eastAsia" w:ascii="Times New Roman" w:hAnsi="Times New Roman"/>
        </w:rPr>
        <w:t>二、学术支持：</w:t>
      </w:r>
      <w:r>
        <w:rPr>
          <w:rFonts w:hint="eastAsia" w:ascii="仿宋_GB2312" w:hAnsi="仿宋_GB2312" w:eastAsia="仿宋_GB2312"/>
          <w:b/>
          <w:bCs/>
          <w:sz w:val="28"/>
          <w:szCs w:val="28"/>
          <w:lang w:eastAsia="zh-CN"/>
        </w:rPr>
        <w:t>大单元设计联盟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ascii="仿宋_GB2312" w:hAnsi="仿宋_GB2312" w:eastAsia="仿宋_GB2312"/>
          <w:sz w:val="28"/>
          <w:szCs w:val="28"/>
        </w:rPr>
      </w:pPr>
      <w:r>
        <w:rPr>
          <w:rStyle w:val="11"/>
          <w:rFonts w:hint="eastAsia" w:ascii="Times New Roman" w:hAnsi="Times New Roman"/>
        </w:rPr>
        <w:t>三、活动时间：</w:t>
      </w:r>
      <w:r>
        <w:rPr>
          <w:rFonts w:hint="eastAsia" w:ascii="仿宋_GB2312" w:hAnsi="仿宋_GB2312" w:eastAsia="仿宋_GB2312"/>
          <w:sz w:val="28"/>
          <w:szCs w:val="28"/>
        </w:rPr>
        <w:t>202</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日—</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15</w:t>
      </w:r>
      <w:r>
        <w:rPr>
          <w:rFonts w:hint="eastAsia" w:ascii="仿宋_GB2312" w:hAnsi="仿宋_GB2312" w:eastAsia="仿宋_GB2312"/>
          <w:sz w:val="28"/>
          <w:szCs w:val="28"/>
        </w:rPr>
        <w:t>日，</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11</w:t>
      </w:r>
      <w:r>
        <w:rPr>
          <w:rFonts w:hint="eastAsia" w:ascii="仿宋_GB2312" w:hAnsi="仿宋_GB2312" w:eastAsia="仿宋_GB2312"/>
          <w:sz w:val="28"/>
          <w:szCs w:val="28"/>
        </w:rPr>
        <w:t>日报到）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sz w:val="28"/>
          <w:szCs w:val="28"/>
          <w:lang w:val="en-US" w:eastAsia="zh-CN"/>
        </w:rPr>
      </w:pPr>
      <w:r>
        <w:rPr>
          <w:rStyle w:val="11"/>
          <w:rFonts w:hint="eastAsia" w:ascii="Times New Roman" w:hAnsi="Times New Roman"/>
        </w:rPr>
        <w:t>四、活动地点：</w:t>
      </w:r>
      <w:r>
        <w:rPr>
          <w:rFonts w:hint="eastAsia" w:ascii="仿宋_GB2312" w:hAnsi="仿宋_GB2312" w:eastAsia="仿宋_GB2312"/>
          <w:b/>
          <w:bCs/>
          <w:sz w:val="28"/>
          <w:szCs w:val="28"/>
        </w:rPr>
        <w:t>厦门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黑体" w:hAnsi="黑体" w:eastAsia="黑体"/>
          <w:b/>
          <w:sz w:val="28"/>
          <w:szCs w:val="28"/>
        </w:rPr>
      </w:pPr>
      <w:r>
        <w:rPr>
          <w:rStyle w:val="11"/>
          <w:rFonts w:hint="eastAsia" w:ascii="Times New Roman" w:hAnsi="Times New Roman"/>
        </w:rPr>
        <w:t>五、活动主题：</w:t>
      </w:r>
      <w:r>
        <w:rPr>
          <w:rFonts w:hint="eastAsia" w:ascii="仿宋_GB2312" w:hAnsi="仿宋_GB2312" w:eastAsia="仿宋_GB2312"/>
          <w:b/>
          <w:bCs/>
          <w:sz w:val="28"/>
          <w:szCs w:val="28"/>
          <w:lang w:eastAsia="zh-CN"/>
        </w:rPr>
        <w:t>高中大单元教学设计指导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theme="minorBidi"/>
          <w:kern w:val="2"/>
          <w:sz w:val="28"/>
          <w:szCs w:val="28"/>
          <w:lang w:val="en-US" w:eastAsia="zh-CN" w:bidi="ar-SA"/>
        </w:rPr>
      </w:pPr>
      <w:r>
        <w:rPr>
          <w:rStyle w:val="11"/>
          <w:rFonts w:hint="eastAsia" w:ascii="Times New Roman" w:hAnsi="Times New Roman"/>
        </w:rPr>
        <w:t>六、</w:t>
      </w:r>
      <w:r>
        <w:rPr>
          <w:rStyle w:val="11"/>
          <w:rFonts w:hint="eastAsia" w:ascii="Times New Roman" w:hAnsi="Times New Roman"/>
          <w:lang w:val="en-US" w:eastAsia="zh-CN"/>
        </w:rPr>
        <w:t>活动目标：</w:t>
      </w:r>
      <w:r>
        <w:rPr>
          <w:rFonts w:hint="eastAsia" w:ascii="仿宋_GB2312" w:hAnsi="仿宋_GB2312" w:eastAsia="仿宋_GB2312"/>
          <w:b/>
          <w:bCs/>
          <w:sz w:val="28"/>
          <w:szCs w:val="28"/>
          <w:lang w:val="en-US" w:eastAsia="zh-CN"/>
        </w:rPr>
        <w:t>学会“大单元教学设计”，成为课程设计师</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0" w:firstLineChars="0"/>
        <w:textAlignment w:val="auto"/>
        <w:rPr>
          <w:rStyle w:val="11"/>
          <w:rFonts w:hint="eastAsia" w:ascii="Times New Roman" w:hAnsi="Times New Roman"/>
          <w:lang w:val="en-US" w:eastAsia="zh-CN"/>
        </w:rPr>
      </w:pPr>
      <w:r>
        <w:rPr>
          <w:rStyle w:val="11"/>
          <w:rFonts w:hint="eastAsia" w:ascii="Times New Roman" w:hAnsi="Times New Roman"/>
          <w:lang w:val="en-US" w:eastAsia="zh-CN"/>
        </w:rPr>
        <w:t>七、课程优势</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560" w:firstLineChars="200"/>
        <w:textAlignment w:val="auto"/>
        <w:rPr>
          <w:rFonts w:hint="default"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1、研修分为文科+理科，共两个研修体系</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2、以“问题体验、案例分析、成果展示、行动反思”贯穿研修始终</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3、以项目式、教研式、体验式进行深度学习</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4、以导师制、考核制作为常态化督导</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560" w:firstLineChars="200"/>
        <w:textAlignment w:val="auto"/>
        <w:rPr>
          <w:rFonts w:hint="eastAsia" w:ascii="仿宋_GB2312" w:hAnsi="仿宋_GB2312" w:eastAsia="仿宋_GB2312"/>
          <w:b w:val="0"/>
          <w:sz w:val="28"/>
          <w:szCs w:val="28"/>
          <w:lang w:val="en-US" w:eastAsia="zh-CN"/>
        </w:rPr>
      </w:pPr>
      <w:r>
        <w:rPr>
          <w:rFonts w:hint="eastAsia" w:ascii="仿宋_GB2312" w:hAnsi="仿宋_GB2312" w:eastAsia="仿宋_GB2312"/>
          <w:b w:val="0"/>
          <w:sz w:val="28"/>
          <w:szCs w:val="28"/>
          <w:lang w:val="en-US" w:eastAsia="zh-CN"/>
        </w:rPr>
        <w:t>5、以积分制学习作为学员评价方式（课堂纪律、作业完成效果、提出问题等），评选优秀学员10名。</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0" w:firstLineChars="0"/>
        <w:textAlignment w:val="auto"/>
        <w:rPr>
          <w:rStyle w:val="11"/>
          <w:rFonts w:hint="eastAsia" w:ascii="Times New Roman" w:hAnsi="Times New Roman"/>
          <w:lang w:val="en-US" w:eastAsia="zh-CN"/>
        </w:rPr>
      </w:pPr>
      <w:r>
        <w:rPr>
          <w:rStyle w:val="11"/>
          <w:rFonts w:hint="eastAsia" w:ascii="Times New Roman" w:hAnsi="Times New Roman"/>
          <w:lang w:val="en-US" w:eastAsia="zh-CN"/>
        </w:rPr>
        <w:t>八、培训专家：</w:t>
      </w:r>
    </w:p>
    <w:p>
      <w:pPr>
        <w:keepNext w:val="0"/>
        <w:keepLines w:val="0"/>
        <w:pageBreakBefore w:val="0"/>
        <w:widowControl w:val="0"/>
        <w:kinsoku/>
        <w:wordWrap/>
        <w:overflowPunct/>
        <w:topLinePunct w:val="0"/>
        <w:autoSpaceDE/>
        <w:autoSpaceDN/>
        <w:bidi w:val="0"/>
        <w:adjustRightInd/>
        <w:snapToGrid/>
        <w:spacing w:line="508" w:lineRule="exact"/>
        <w:ind w:left="1124" w:leftChars="0" w:hanging="1124" w:hangingChars="400"/>
        <w:textAlignment w:val="auto"/>
        <w:rPr>
          <w:rFonts w:hint="eastAsia" w:ascii="仿宋_GB2312" w:hAnsi="仿宋_GB2312" w:eastAsia="仿宋_GB2312"/>
          <w:sz w:val="28"/>
          <w:szCs w:val="28"/>
          <w:lang w:val="en-US" w:eastAsia="zh-CN"/>
        </w:rPr>
      </w:pPr>
      <w:r>
        <w:rPr>
          <w:rFonts w:hint="eastAsia" w:ascii="仿宋_GB2312" w:hAnsi="仿宋_GB2312" w:eastAsia="仿宋_GB2312"/>
          <w:b/>
          <w:bCs/>
          <w:sz w:val="28"/>
          <w:szCs w:val="28"/>
          <w:lang w:val="en-US" w:eastAsia="zh-CN"/>
        </w:rPr>
        <w:t>张玉峰</w:t>
      </w:r>
      <w:r>
        <w:rPr>
          <w:rFonts w:hint="eastAsia" w:ascii="黑体" w:hAnsi="黑体" w:eastAsia="黑体"/>
          <w:b/>
          <w:sz w:val="28"/>
          <w:szCs w:val="28"/>
          <w:lang w:val="en-US" w:eastAsia="zh-CN"/>
        </w:rPr>
        <w:t xml:space="preserve">  </w:t>
      </w:r>
      <w:r>
        <w:rPr>
          <w:rFonts w:hint="eastAsia" w:ascii="仿宋_GB2312" w:hAnsi="仿宋_GB2312" w:eastAsia="仿宋_GB2312"/>
          <w:sz w:val="28"/>
          <w:szCs w:val="28"/>
          <w:lang w:val="en-US" w:eastAsia="zh-CN"/>
        </w:rPr>
        <w:t>北京师范大学教育学博士，北京市物理教研员，特级教师。兼任中国教育学会物理教学专委会理事、中国物理学会教学委员会委员、中学分委会副秘书长、北京市学习科学学会科学教育专委会主任委员、北京市教育学会物理专委会秘书长、北京市科协物理名师工作室主持人。长期从事学习诊断、教学改进和创新人才研究。人教版高中物理教材核心编者、教学用书主编、人教版初中和高中物理教材配套教学设计物理学科总主编。《中学物理》编委。在《课程教材教法》《教育科学研究》等发表论文100余篇，人大复印全文转载20多篇；出版专著《高中物理概念学习进阶及其教学应用研究》《诊断与整合：物理教学新探索》，主编20本物理教学著作。先后获7次获省级和国家级基础教育成果奖。</w:t>
      </w:r>
    </w:p>
    <w:p>
      <w:pPr>
        <w:keepNext w:val="0"/>
        <w:keepLines w:val="0"/>
        <w:pageBreakBefore w:val="0"/>
        <w:widowControl w:val="0"/>
        <w:kinsoku/>
        <w:wordWrap/>
        <w:overflowPunct/>
        <w:topLinePunct w:val="0"/>
        <w:autoSpaceDE/>
        <w:autoSpaceDN/>
        <w:bidi w:val="0"/>
        <w:adjustRightInd/>
        <w:snapToGrid/>
        <w:spacing w:line="508" w:lineRule="exact"/>
        <w:ind w:left="1124" w:leftChars="0" w:hanging="1124" w:hangingChars="400"/>
        <w:textAlignment w:val="auto"/>
        <w:rPr>
          <w:rFonts w:hint="eastAsia" w:ascii="仿宋_GB2312" w:hAnsi="仿宋_GB2312" w:eastAsia="仿宋_GB2312"/>
          <w:b/>
          <w:bCs/>
          <w:sz w:val="28"/>
          <w:szCs w:val="28"/>
          <w:lang w:val="en-US" w:eastAsia="zh-CN"/>
        </w:rPr>
      </w:pPr>
      <w:r>
        <w:rPr>
          <w:rFonts w:hint="eastAsia" w:ascii="仿宋_GB2312" w:hAnsi="仿宋_GB2312" w:eastAsia="仿宋_GB2312"/>
          <w:b/>
          <w:bCs/>
          <w:sz w:val="28"/>
          <w:szCs w:val="28"/>
          <w:lang w:val="en-US" w:eastAsia="zh-CN"/>
        </w:rPr>
        <w:t>朱亚平</w:t>
      </w:r>
      <w:r>
        <w:rPr>
          <w:rFonts w:hint="eastAsia" w:ascii="黑体" w:hAnsi="黑体" w:eastAsia="黑体"/>
          <w:b/>
          <w:sz w:val="28"/>
          <w:szCs w:val="28"/>
          <w:lang w:val="en-US" w:eastAsia="zh-CN"/>
        </w:rPr>
        <w:t xml:space="preserve">  </w:t>
      </w:r>
      <w:r>
        <w:rPr>
          <w:rFonts w:hint="eastAsia" w:ascii="仿宋_GB2312" w:hAnsi="仿宋_GB2312" w:eastAsia="仿宋_GB2312"/>
          <w:sz w:val="28"/>
          <w:szCs w:val="28"/>
          <w:lang w:val="en-US" w:eastAsia="zh-CN"/>
        </w:rPr>
        <w:t>北京景山学校，正高级教师，北京市骨干教师，北京市高中物理教学研究组核心成员，北京市科协名师工作室科学种子教师；长期从事学习诊断，单元教学，考试命题等领域研究。主持北京市规划办等多项市级课题；在《中国教育学刊》等杂志发表多篇论文。主编《中学物理作业设计》参与编写《基于课前学习诊断的高中物理教学整合》《基于学习进阶的中学物理教学改进研究 电与磁》等书籍。</w:t>
      </w:r>
    </w:p>
    <w:p>
      <w:pPr>
        <w:keepNext w:val="0"/>
        <w:keepLines w:val="0"/>
        <w:pageBreakBefore w:val="0"/>
        <w:widowControl w:val="0"/>
        <w:kinsoku/>
        <w:wordWrap/>
        <w:overflowPunct/>
        <w:topLinePunct w:val="0"/>
        <w:autoSpaceDE/>
        <w:autoSpaceDN/>
        <w:bidi w:val="0"/>
        <w:adjustRightInd/>
        <w:snapToGrid/>
        <w:spacing w:line="508" w:lineRule="exact"/>
        <w:ind w:left="1124" w:leftChars="0" w:hanging="1124" w:hangingChars="400"/>
        <w:textAlignment w:val="auto"/>
        <w:rPr>
          <w:rFonts w:hint="eastAsia" w:ascii="黑体" w:hAnsi="黑体" w:eastAsia="黑体"/>
          <w:b w:val="0"/>
          <w:bCs/>
          <w:sz w:val="28"/>
          <w:szCs w:val="28"/>
          <w:lang w:eastAsia="zh-CN"/>
        </w:rPr>
      </w:pPr>
      <w:r>
        <w:rPr>
          <w:rFonts w:hint="eastAsia" w:ascii="仿宋_GB2312" w:hAnsi="仿宋_GB2312" w:eastAsia="仿宋_GB2312"/>
          <w:b/>
          <w:bCs/>
          <w:sz w:val="28"/>
          <w:szCs w:val="28"/>
          <w:lang w:val="en-US" w:eastAsia="zh-CN"/>
        </w:rPr>
        <w:t>宋  颢</w:t>
      </w:r>
      <w:r>
        <w:rPr>
          <w:rFonts w:hint="eastAsia" w:ascii="黑体" w:hAnsi="黑体" w:eastAsia="黑体"/>
          <w:b/>
          <w:bCs w:val="0"/>
          <w:sz w:val="28"/>
          <w:szCs w:val="28"/>
          <w:lang w:val="en-US" w:eastAsia="zh-CN"/>
        </w:rPr>
        <w:t xml:space="preserve">  </w:t>
      </w:r>
      <w:r>
        <w:rPr>
          <w:rFonts w:hint="eastAsia" w:ascii="仿宋_GB2312" w:hAnsi="仿宋_GB2312" w:eastAsia="仿宋_GB2312"/>
          <w:sz w:val="28"/>
          <w:szCs w:val="28"/>
          <w:lang w:val="en-US" w:eastAsia="zh-CN"/>
        </w:rPr>
        <w:t>北京市西城区教育研修学院地理教研员，北京市学科带头人、第六届“全国优秀中学地理教育工作者”，教育部“国培计划”培训专家、曾获北京市基础教育教学成果奖二等奖、在《中国教育报》、《首都师范大学学报》《中国地理教学参考》、《新课程教学》、《地理教育》等刊物发表多篇论文；主持多个国家级重点课题</w:t>
      </w:r>
    </w:p>
    <w:p>
      <w:pPr>
        <w:keepNext w:val="0"/>
        <w:keepLines w:val="0"/>
        <w:pageBreakBefore w:val="0"/>
        <w:widowControl w:val="0"/>
        <w:kinsoku/>
        <w:wordWrap/>
        <w:overflowPunct/>
        <w:topLinePunct w:val="0"/>
        <w:autoSpaceDE/>
        <w:autoSpaceDN/>
        <w:bidi w:val="0"/>
        <w:adjustRightInd/>
        <w:snapToGrid/>
        <w:spacing w:line="508" w:lineRule="exact"/>
        <w:ind w:left="1124" w:leftChars="0" w:hanging="1124" w:hangingChars="400"/>
        <w:textAlignment w:val="auto"/>
        <w:rPr>
          <w:rFonts w:hint="eastAsia" w:ascii="仿宋_GB2312" w:hAnsi="仿宋_GB2312" w:eastAsia="仿宋_GB2312"/>
          <w:sz w:val="28"/>
          <w:szCs w:val="28"/>
          <w:lang w:val="en-US" w:eastAsia="zh-CN"/>
        </w:rPr>
      </w:pPr>
      <w:r>
        <w:rPr>
          <w:rFonts w:hint="eastAsia" w:ascii="仿宋_GB2312" w:hAnsi="仿宋_GB2312" w:eastAsia="仿宋_GB2312"/>
          <w:b/>
          <w:bCs/>
          <w:sz w:val="28"/>
          <w:szCs w:val="28"/>
          <w:lang w:val="en-US" w:eastAsia="zh-CN"/>
        </w:rPr>
        <w:t>孔令惠</w:t>
      </w:r>
      <w:r>
        <w:rPr>
          <w:rFonts w:hint="eastAsia" w:ascii="黑体" w:hAnsi="黑体" w:eastAsia="黑体"/>
          <w:b/>
          <w:bCs w:val="0"/>
          <w:sz w:val="28"/>
          <w:szCs w:val="28"/>
          <w:lang w:val="en-US" w:eastAsia="zh-CN"/>
        </w:rPr>
        <w:t xml:space="preserve">  </w:t>
      </w:r>
      <w:r>
        <w:rPr>
          <w:rFonts w:hint="eastAsia" w:ascii="仿宋_GB2312" w:hAnsi="仿宋_GB2312" w:eastAsia="仿宋_GB2312"/>
          <w:sz w:val="28"/>
          <w:szCs w:val="28"/>
          <w:lang w:val="en-US" w:eastAsia="zh-CN"/>
        </w:rPr>
        <w:t>中学高级教师，北京市西城区地理学科带头人，第35中学高中地理教研组组长。从教多年，在新课程、新教材推进中，锐意进取，不断突破自我并创新发展，课堂教学注重探索核心素养培养途径，用问题整合学习内容进行深度学习活动设计，通过情境变化和学习任务难度的提高，不断优化学生的认知过程，提升学生的高阶思维和解决问题能力。作为课题负责人和主要成员，先后参加多个市、区、校级课题研究，撰写的论文和教学设计获市区级奖励，多篇曾发表。</w:t>
      </w:r>
    </w:p>
    <w:p>
      <w:pPr>
        <w:keepNext w:val="0"/>
        <w:keepLines w:val="0"/>
        <w:pageBreakBefore w:val="0"/>
        <w:widowControl w:val="0"/>
        <w:kinsoku/>
        <w:wordWrap/>
        <w:overflowPunct/>
        <w:topLinePunct w:val="0"/>
        <w:autoSpaceDE/>
        <w:autoSpaceDN/>
        <w:bidi w:val="0"/>
        <w:adjustRightInd/>
        <w:snapToGrid/>
        <w:spacing w:line="508" w:lineRule="exact"/>
        <w:ind w:left="1124" w:leftChars="0" w:hanging="1124" w:hangingChars="400"/>
        <w:textAlignment w:val="auto"/>
        <w:rPr>
          <w:rFonts w:hint="eastAsia" w:ascii="仿宋_GB2312" w:hAnsi="仿宋_GB2312" w:eastAsia="仿宋_GB2312"/>
          <w:sz w:val="28"/>
          <w:szCs w:val="28"/>
          <w:lang w:val="en-US" w:eastAsia="zh-CN"/>
        </w:rPr>
      </w:pPr>
      <w:r>
        <w:rPr>
          <w:rFonts w:hint="eastAsia" w:ascii="仿宋_GB2312" w:hAnsi="仿宋_GB2312" w:eastAsia="仿宋_GB2312"/>
          <w:b/>
          <w:bCs/>
          <w:sz w:val="28"/>
          <w:szCs w:val="28"/>
          <w:lang w:val="en-US" w:eastAsia="zh-CN"/>
        </w:rPr>
        <w:t xml:space="preserve">陈  沛  </w:t>
      </w:r>
      <w:r>
        <w:rPr>
          <w:rFonts w:hint="eastAsia" w:ascii="仿宋_GB2312" w:hAnsi="仿宋_GB2312" w:eastAsia="仿宋_GB2312"/>
          <w:sz w:val="28"/>
          <w:szCs w:val="28"/>
          <w:lang w:val="en-US" w:eastAsia="zh-CN"/>
        </w:rPr>
        <w:t>中学正高级教师，北京市特级教师，教育部课程教材研究所兼职研究员、北师大珠海校区语文学科兼职教师、北京联合大学教育专业学位硕士研究生指导教师、北京市语文兼职教研员、“北京市名师发展工程”实践导师、北京市朝阳区教育学会常务理事，北京市朝阳区教育学会中学语文分会副会长，多次担任教育部学业质量监测、教育部协同创新中心区域健康诊断等工作。</w:t>
      </w:r>
    </w:p>
    <w:p>
      <w:pPr>
        <w:keepNext w:val="0"/>
        <w:keepLines w:val="0"/>
        <w:pageBreakBefore w:val="0"/>
        <w:widowControl w:val="0"/>
        <w:kinsoku/>
        <w:wordWrap/>
        <w:overflowPunct/>
        <w:topLinePunct w:val="0"/>
        <w:autoSpaceDE/>
        <w:autoSpaceDN/>
        <w:bidi w:val="0"/>
        <w:adjustRightInd/>
        <w:snapToGrid/>
        <w:spacing w:line="508" w:lineRule="exact"/>
        <w:ind w:left="1124" w:leftChars="0" w:hanging="1124" w:hangingChars="400"/>
        <w:textAlignment w:val="auto"/>
        <w:rPr>
          <w:rFonts w:hint="eastAsia" w:ascii="仿宋_GB2312" w:hAnsi="仿宋_GB2312" w:eastAsia="仿宋_GB2312"/>
          <w:sz w:val="28"/>
          <w:szCs w:val="28"/>
          <w:lang w:val="en-US" w:eastAsia="zh-CN"/>
        </w:rPr>
      </w:pPr>
      <w:r>
        <w:rPr>
          <w:rFonts w:hint="eastAsia" w:ascii="仿宋_GB2312" w:hAnsi="仿宋_GB2312" w:eastAsia="仿宋_GB2312"/>
          <w:b/>
          <w:bCs/>
          <w:sz w:val="28"/>
          <w:szCs w:val="28"/>
          <w:lang w:val="en-US" w:eastAsia="zh-CN"/>
        </w:rPr>
        <w:t>夏繁军</w:t>
      </w:r>
      <w:r>
        <w:rPr>
          <w:rFonts w:hint="eastAsia" w:ascii="仿宋_GB2312" w:hAnsi="仿宋_GB2312" w:eastAsia="仿宋_GB2312"/>
          <w:sz w:val="28"/>
          <w:szCs w:val="28"/>
          <w:lang w:val="en-US" w:eastAsia="zh-CN"/>
        </w:rPr>
        <w:t xml:space="preserve">  首都师范大学附属中学数学教师，正高级教师，北京市学科带头人，北京市“紫禁杯”优秀班主任。《理科考试研究》编委，首都师范大学本科生指导教师，民盟北京市委基础教育委员会委员。</w:t>
      </w:r>
    </w:p>
    <w:p>
      <w:pPr>
        <w:keepNext w:val="0"/>
        <w:keepLines w:val="0"/>
        <w:pageBreakBefore w:val="0"/>
        <w:widowControl w:val="0"/>
        <w:numPr>
          <w:ilvl w:val="0"/>
          <w:numId w:val="0"/>
        </w:numPr>
        <w:kinsoku/>
        <w:wordWrap/>
        <w:overflowPunct/>
        <w:topLinePunct w:val="0"/>
        <w:autoSpaceDE/>
        <w:autoSpaceDN/>
        <w:bidi w:val="0"/>
        <w:adjustRightInd/>
        <w:snapToGrid/>
        <w:spacing w:line="508" w:lineRule="exact"/>
        <w:ind w:leftChars="0"/>
        <w:textAlignment w:val="auto"/>
        <w:rPr>
          <w:rFonts w:hint="eastAsia" w:ascii="仿宋_GB2312" w:hAnsi="仿宋_GB2312" w:eastAsia="仿宋_GB2312"/>
          <w:b/>
          <w:bCs/>
          <w:sz w:val="28"/>
          <w:szCs w:val="28"/>
          <w:lang w:val="en-US" w:eastAsia="zh-CN"/>
        </w:rPr>
      </w:pPr>
      <w:r>
        <w:rPr>
          <w:rStyle w:val="11"/>
          <w:rFonts w:hint="eastAsia"/>
          <w:lang w:val="en-US" w:eastAsia="zh-CN"/>
        </w:rPr>
        <w:t>九、研修人员：</w:t>
      </w:r>
      <w:r>
        <w:rPr>
          <w:rFonts w:hint="eastAsia" w:ascii="仿宋_GB2312" w:hAnsi="仿宋_GB2312" w:eastAsia="仿宋_GB2312"/>
          <w:b/>
          <w:bCs/>
          <w:sz w:val="28"/>
          <w:szCs w:val="28"/>
          <w:lang w:val="en-US" w:eastAsia="zh-CN"/>
        </w:rPr>
        <w:t>高中教学校长、学科组长和教研组长，各级教研员</w:t>
      </w:r>
    </w:p>
    <w:p>
      <w:pPr>
        <w:keepNext w:val="0"/>
        <w:keepLines w:val="0"/>
        <w:pageBreakBefore w:val="0"/>
        <w:widowControl w:val="0"/>
        <w:numPr>
          <w:ilvl w:val="0"/>
          <w:numId w:val="0"/>
        </w:numPr>
        <w:kinsoku/>
        <w:wordWrap/>
        <w:overflowPunct/>
        <w:topLinePunct w:val="0"/>
        <w:autoSpaceDE/>
        <w:autoSpaceDN/>
        <w:bidi w:val="0"/>
        <w:adjustRightInd/>
        <w:snapToGrid/>
        <w:spacing w:line="508" w:lineRule="exact"/>
        <w:ind w:leftChars="0" w:firstLine="1968" w:firstLineChars="700"/>
        <w:textAlignment w:val="auto"/>
        <w:rPr>
          <w:rFonts w:ascii="黑体" w:hAnsi="黑体" w:eastAsia="黑体"/>
          <w:b/>
          <w:sz w:val="28"/>
          <w:szCs w:val="28"/>
        </w:rPr>
      </w:pPr>
      <w:r>
        <w:rPr>
          <w:rFonts w:hint="eastAsia" w:ascii="仿宋_GB2312" w:hAnsi="仿宋_GB2312" w:eastAsia="仿宋_GB2312"/>
          <w:b/>
          <w:bCs/>
          <w:sz w:val="28"/>
          <w:szCs w:val="28"/>
          <w:lang w:val="en-US" w:eastAsia="zh-CN"/>
        </w:rPr>
        <w:t>教育局相关研究负责人</w:t>
      </w:r>
    </w:p>
    <w:p>
      <w:pPr>
        <w:keepNext w:val="0"/>
        <w:keepLines w:val="0"/>
        <w:pageBreakBefore w:val="0"/>
        <w:widowControl w:val="0"/>
        <w:kinsoku/>
        <w:wordWrap/>
        <w:overflowPunct/>
        <w:topLinePunct w:val="0"/>
        <w:autoSpaceDE/>
        <w:autoSpaceDN/>
        <w:bidi w:val="0"/>
        <w:adjustRightInd/>
        <w:snapToGrid/>
        <w:spacing w:line="508" w:lineRule="exact"/>
        <w:ind w:left="0" w:leftChars="0" w:firstLine="0" w:firstLineChars="0"/>
        <w:textAlignment w:val="auto"/>
        <w:rPr>
          <w:rFonts w:hint="eastAsia" w:ascii="仿宋_GB2312" w:hAnsi="仿宋_GB2312" w:eastAsia="仿宋_GB2312"/>
          <w:sz w:val="28"/>
          <w:szCs w:val="28"/>
          <w:lang w:val="en-US" w:eastAsia="zh-CN"/>
        </w:rPr>
      </w:pPr>
      <w:r>
        <w:rPr>
          <w:rStyle w:val="11"/>
          <w:rFonts w:hint="eastAsia"/>
          <w:lang w:val="en-US" w:eastAsia="zh-CN"/>
        </w:rPr>
        <w:t>十、结业说明：</w:t>
      </w:r>
      <w:r>
        <w:rPr>
          <w:rFonts w:hint="eastAsia" w:ascii="仿宋_GB2312" w:hAnsi="仿宋_GB2312" w:eastAsia="仿宋_GB2312"/>
          <w:sz w:val="28"/>
          <w:szCs w:val="28"/>
          <w:lang w:val="en-US" w:eastAsia="zh-CN"/>
        </w:rPr>
        <w:t>完成研修任务，并考核合格的学员可获得由主办单位颁发的大单元教学设计指导种子教师”高级研修班（学时、结业证书）。</w:t>
      </w:r>
    </w:p>
    <w:p>
      <w:pPr>
        <w:pStyle w:val="2"/>
        <w:pageBreakBefore w:val="0"/>
        <w:widowControl w:val="0"/>
        <w:kinsoku/>
        <w:wordWrap/>
        <w:overflowPunct/>
        <w:topLinePunct w:val="0"/>
        <w:autoSpaceDE/>
        <w:autoSpaceDN/>
        <w:bidi w:val="0"/>
        <w:adjustRightInd/>
        <w:snapToGrid/>
        <w:spacing w:line="330" w:lineRule="exact"/>
        <w:textAlignment w:val="auto"/>
        <w:rPr>
          <w:rFonts w:hint="eastAsia"/>
          <w:lang w:val="en-US" w:eastAsia="zh-CN"/>
        </w:rPr>
      </w:pPr>
      <w:r>
        <w:rPr>
          <w:rFonts w:hint="eastAsia"/>
          <w:lang w:val="en-US" w:eastAsia="zh-CN"/>
        </w:rPr>
        <w:t>十一、文、理科教师培训日程安排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462"/>
        <w:gridCol w:w="2199"/>
        <w:gridCol w:w="4688"/>
        <w:gridCol w:w="881"/>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gridSpan w:val="2"/>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时间</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主题</w:t>
            </w:r>
          </w:p>
        </w:tc>
        <w:tc>
          <w:tcPr>
            <w:tcW w:w="4688"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简介</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主讲人</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第</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cs="仿宋"/>
                <w:sz w:val="21"/>
                <w:szCs w:val="21"/>
                <w:lang w:val="en-US" w:eastAsia="zh-CN"/>
              </w:rPr>
              <w:t>一</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天</w:t>
            </w:r>
          </w:p>
        </w:tc>
        <w:tc>
          <w:tcPr>
            <w:tcW w:w="462"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上午</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模块1：大概念与高中单元教学整体概述</w:t>
            </w:r>
          </w:p>
        </w:tc>
        <w:tc>
          <w:tcPr>
            <w:tcW w:w="4688" w:type="dxa"/>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1"/>
                <w:szCs w:val="21"/>
              </w:rPr>
            </w:pPr>
            <w:r>
              <w:rPr>
                <w:rFonts w:hint="eastAsia" w:ascii="仿宋" w:hAnsi="仿宋" w:eastAsia="仿宋" w:cs="仿宋"/>
                <w:b/>
                <w:bCs/>
                <w:color w:val="auto"/>
                <w:sz w:val="21"/>
                <w:szCs w:val="21"/>
                <w:lang w:val="en-US" w:eastAsia="zh-CN"/>
              </w:rPr>
              <w:t>1、破冰行动：分小组，选组长，制定学员积分制学习评价标准</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主要讨论大概念和学习进阶的内涵界定、特征与教学价值；从大概念学习角度审视传统教学的利弊，并基于利弊分析讨论单元教学的必要性和可行性，单元教学的内涵与特征。</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文理科专家同步</w:t>
            </w:r>
          </w:p>
        </w:tc>
        <w:tc>
          <w:tcPr>
            <w:tcW w:w="521" w:type="dxa"/>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1"/>
                <w:szCs w:val="21"/>
              </w:rPr>
            </w:pPr>
          </w:p>
        </w:tc>
        <w:tc>
          <w:tcPr>
            <w:tcW w:w="462"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下午</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模块2：基于大概念的</w:t>
            </w:r>
            <w:r>
              <w:rPr>
                <w:rFonts w:hint="eastAsia" w:ascii="仿宋" w:hAnsi="仿宋" w:eastAsia="仿宋" w:cs="仿宋"/>
                <w:sz w:val="21"/>
                <w:szCs w:val="21"/>
                <w:lang w:eastAsia="zh-CN"/>
              </w:rPr>
              <w:t>高中</w:t>
            </w:r>
            <w:r>
              <w:rPr>
                <w:rFonts w:hint="eastAsia" w:ascii="仿宋" w:hAnsi="仿宋" w:eastAsia="仿宋" w:cs="仿宋"/>
                <w:sz w:val="21"/>
                <w:szCs w:val="21"/>
              </w:rPr>
              <w:t>理科单元教学内容整合思路与策略</w:t>
            </w:r>
          </w:p>
        </w:tc>
        <w:tc>
          <w:tcPr>
            <w:tcW w:w="4688" w:type="dxa"/>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主要讨论如何基于大概念整合教学内容，帮助学习形成结构良好的知识体系，如何呈现知识结构等内容，促进教师对知识结构化；挖掘知识及其关联中所蕴含的学科思维方式，帮助学生形成认识客观世界和解决问题的一般化思路。</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b/>
                <w:bCs w:val="0"/>
                <w:color w:val="auto"/>
                <w:kern w:val="2"/>
                <w:sz w:val="21"/>
                <w:szCs w:val="21"/>
                <w:lang w:val="en-US" w:eastAsia="zh-CN" w:bidi="ar-SA"/>
              </w:rPr>
              <w:t>2、选主题、定团队、头脑风暴、依据给定工具进行主题分解和设计；专家入组指导</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文理科专家同步</w:t>
            </w:r>
          </w:p>
        </w:tc>
        <w:tc>
          <w:tcPr>
            <w:tcW w:w="521" w:type="dxa"/>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第</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cs="仿宋"/>
                <w:sz w:val="21"/>
                <w:szCs w:val="21"/>
                <w:lang w:val="en-US" w:eastAsia="zh-CN"/>
              </w:rPr>
              <w:t>二</w:t>
            </w:r>
            <w:r>
              <w:rPr>
                <w:rFonts w:hint="eastAsia" w:ascii="仿宋" w:hAnsi="仿宋" w:eastAsia="仿宋" w:cs="仿宋"/>
                <w:sz w:val="21"/>
                <w:szCs w:val="21"/>
              </w:rPr>
              <w:t>天</w:t>
            </w:r>
          </w:p>
        </w:tc>
        <w:tc>
          <w:tcPr>
            <w:tcW w:w="462"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上午</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模块3：基于认知过程的理科单元学情分析思路与策略</w:t>
            </w:r>
          </w:p>
        </w:tc>
        <w:tc>
          <w:tcPr>
            <w:tcW w:w="4688" w:type="dxa"/>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主要讨论如何根据知识逻辑建构单元的认知过程，并基于认知过程对学习单元内容所应具备的知识与方法基础、学习单元内容可能遇到的思维困难进行深入分析，这是学科教学中落实因材施教原则的基础，也是提升教学有效性的关键策略。</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文理科专家同步</w:t>
            </w:r>
          </w:p>
        </w:tc>
        <w:tc>
          <w:tcPr>
            <w:tcW w:w="521" w:type="dxa"/>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sz w:val="21"/>
                <w:szCs w:val="21"/>
              </w:rPr>
            </w:pPr>
          </w:p>
        </w:tc>
        <w:tc>
          <w:tcPr>
            <w:tcW w:w="462"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下午</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模块4：理科单元学习目标确立与作为量规的表现性任务设计</w:t>
            </w:r>
          </w:p>
        </w:tc>
        <w:tc>
          <w:tcPr>
            <w:tcW w:w="4688" w:type="dxa"/>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主要讨论如何基于单元教学内容分析和学情分析确定单元教学目标，并将单元教学目标与课时教学目标的内容、陈述方式等进行比较；如何基于目标开发表现性任务，落实以评促学，让单元教学目标可视化并有效统领和驱动单元教学全过程。</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b/>
                <w:bCs w:val="0"/>
                <w:color w:val="auto"/>
                <w:kern w:val="2"/>
                <w:sz w:val="21"/>
                <w:szCs w:val="21"/>
                <w:lang w:val="en-US" w:eastAsia="zh-CN" w:bidi="ar-SA"/>
              </w:rPr>
              <w:t>2、选主题、定任务、头脑风暴、依据给定工具进行单元设计；专家入组指导</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文理科专家同步</w:t>
            </w:r>
          </w:p>
        </w:tc>
        <w:tc>
          <w:tcPr>
            <w:tcW w:w="521" w:type="dxa"/>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Merge w:val="restart"/>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cs="仿宋"/>
                <w:sz w:val="21"/>
                <w:szCs w:val="21"/>
                <w:lang w:val="en-US" w:eastAsia="zh-CN"/>
              </w:rPr>
              <w:t>三</w:t>
            </w:r>
            <w:r>
              <w:rPr>
                <w:rFonts w:hint="eastAsia" w:ascii="仿宋" w:hAnsi="仿宋" w:eastAsia="仿宋" w:cs="仿宋"/>
                <w:sz w:val="21"/>
                <w:szCs w:val="21"/>
              </w:rPr>
              <w:t>天</w:t>
            </w:r>
          </w:p>
        </w:tc>
        <w:tc>
          <w:tcPr>
            <w:tcW w:w="462"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上午</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模块5：可视化理科单元学习过程设计的思路与策略</w:t>
            </w:r>
          </w:p>
        </w:tc>
        <w:tc>
          <w:tcPr>
            <w:tcW w:w="4688" w:type="dxa"/>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主要讨论如何基于学习进阶设计单元学习过程。根据学习内容不同，可以分为知识单元学习过程、思维单元学习过程、基于实践任务的单元学习过程等不同类型。基于单元学习过程讨论如何创设大情境，并基于大情境将学习目标问题化、任务化。</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文理科专家同步</w:t>
            </w:r>
          </w:p>
        </w:tc>
        <w:tc>
          <w:tcPr>
            <w:tcW w:w="521" w:type="dxa"/>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74" w:type="dxa"/>
            <w:vMerge w:val="continue"/>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宋体" w:hAnsi="宋体" w:eastAsia="宋体" w:cs="宋体"/>
                <w:sz w:val="21"/>
                <w:szCs w:val="21"/>
              </w:rPr>
            </w:pPr>
          </w:p>
        </w:tc>
        <w:tc>
          <w:tcPr>
            <w:tcW w:w="462"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下午</w:t>
            </w:r>
          </w:p>
        </w:tc>
        <w:tc>
          <w:tcPr>
            <w:tcW w:w="2199"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模块6：从单元到课时：基于理科单元教学的学习活动设计</w:t>
            </w:r>
          </w:p>
        </w:tc>
        <w:tc>
          <w:tcPr>
            <w:tcW w:w="4688" w:type="dxa"/>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主要讨论在单元学习过程统摄下，如何设计单元学习过程中大量的学习活动，通过一个个活动细节的落实，真正润物细无声地完成单元学习目标，而不是将单元教学停留在理念层面。</w:t>
            </w:r>
          </w:p>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b/>
                <w:bCs w:val="0"/>
                <w:color w:val="auto"/>
                <w:kern w:val="2"/>
                <w:sz w:val="21"/>
                <w:szCs w:val="21"/>
                <w:lang w:val="en-US" w:eastAsia="zh-CN" w:bidi="ar-SA"/>
              </w:rPr>
              <w:t>2、选主题、定任务、头脑风暴、依据给定工具进行单元活动设计；专家入组指导</w:t>
            </w:r>
          </w:p>
        </w:tc>
        <w:tc>
          <w:tcPr>
            <w:tcW w:w="881" w:type="dxa"/>
            <w:vAlign w:val="center"/>
          </w:tcPr>
          <w:p>
            <w:pPr>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文理科专家同步</w:t>
            </w:r>
          </w:p>
        </w:tc>
        <w:tc>
          <w:tcPr>
            <w:tcW w:w="521" w:type="dxa"/>
          </w:tcPr>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sz w:val="21"/>
                <w:szCs w:val="21"/>
              </w:rPr>
            </w:pPr>
          </w:p>
        </w:tc>
      </w:tr>
    </w:tbl>
    <w:p>
      <w:pPr>
        <w:pStyle w:val="2"/>
        <w:bidi w:val="0"/>
        <w:rPr>
          <w:rFonts w:hint="eastAsia"/>
          <w:lang w:val="en-US" w:eastAsia="zh-CN"/>
        </w:rPr>
      </w:pPr>
      <w:r>
        <w:rPr>
          <w:rFonts w:hint="eastAsia"/>
          <w:lang w:val="en-US" w:eastAsia="zh-CN"/>
        </w:rPr>
        <w:t>十二、报名须知：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报名人员请联系工作组人员索要可编辑报名表，认真填写后发到指定邮箱：nyltlihai@126.com，报名确认后发送报到通知。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1.本期研修人数有限（140人），报满截止。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2.会务费980元/人（包括：场地费、专家费、资料费等）。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食宿费用自理，协助安排宾馆，费用标准约320元/人/天。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3、全国中小学名师培训网合作基地免费2人参加</w:t>
      </w:r>
    </w:p>
    <w:p>
      <w:pPr>
        <w:pStyle w:val="2"/>
        <w:bidi w:val="0"/>
        <w:rPr>
          <w:rFonts w:hint="eastAsia"/>
          <w:lang w:val="en-US" w:eastAsia="zh-CN"/>
        </w:rPr>
      </w:pPr>
      <w:r>
        <w:rPr>
          <w:rFonts w:hint="eastAsia"/>
          <w:lang w:val="en-US" w:eastAsia="zh-CN"/>
        </w:rPr>
        <w:t>十三、学员要求：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1、学员必须携带笔记本电脑（用于作业设计、小组研修、成果展示）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2、自带本校大单元教学设计案例1——2个，用于案例修改、分享、能力提升、成果展示</w:t>
      </w:r>
    </w:p>
    <w:p>
      <w:pPr>
        <w:pStyle w:val="2"/>
        <w:bidi w:val="0"/>
        <w:rPr>
          <w:rFonts w:hint="eastAsia"/>
          <w:lang w:val="en-US" w:eastAsia="zh-CN"/>
        </w:rPr>
      </w:pPr>
      <w:r>
        <w:rPr>
          <w:rFonts w:hint="eastAsia"/>
          <w:lang w:val="en-US" w:eastAsia="zh-CN"/>
        </w:rPr>
        <w:t>十四、联系方式：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 xml:space="preserve">联系人：李老师  电话：010—63831196  15810469859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邮箱：</w:t>
      </w:r>
      <w:r>
        <w:rPr>
          <w:rFonts w:hint="eastAsia" w:ascii="仿宋_GB2312" w:hAnsi="仿宋_GB2312" w:eastAsia="仿宋_GB2312"/>
          <w:sz w:val="28"/>
          <w:szCs w:val="28"/>
          <w:lang w:val="en-US" w:eastAsia="zh-CN"/>
        </w:rPr>
        <w:fldChar w:fldCharType="begin"/>
      </w:r>
      <w:r>
        <w:rPr>
          <w:rFonts w:hint="eastAsia" w:ascii="仿宋_GB2312" w:hAnsi="仿宋_GB2312" w:eastAsia="仿宋_GB2312"/>
          <w:sz w:val="28"/>
          <w:szCs w:val="28"/>
          <w:lang w:val="en-US" w:eastAsia="zh-CN"/>
        </w:rPr>
        <w:instrText xml:space="preserve"> HYPERLINK "mailto:nyltlihai@126.com" </w:instrText>
      </w:r>
      <w:r>
        <w:rPr>
          <w:rFonts w:hint="eastAsia" w:ascii="仿宋_GB2312" w:hAnsi="仿宋_GB2312" w:eastAsia="仿宋_GB2312"/>
          <w:sz w:val="28"/>
          <w:szCs w:val="28"/>
          <w:lang w:val="en-US" w:eastAsia="zh-CN"/>
        </w:rPr>
        <w:fldChar w:fldCharType="separate"/>
      </w:r>
      <w:r>
        <w:rPr>
          <w:rFonts w:hint="eastAsia" w:ascii="仿宋_GB2312" w:hAnsi="仿宋_GB2312" w:eastAsia="仿宋_GB2312"/>
          <w:sz w:val="28"/>
          <w:szCs w:val="28"/>
          <w:lang w:val="en-US" w:eastAsia="zh-CN"/>
        </w:rPr>
        <w:t>nyltlihai@126.com</w:t>
      </w:r>
      <w:r>
        <w:rPr>
          <w:rFonts w:hint="eastAsia" w:ascii="仿宋_GB2312" w:hAnsi="仿宋_GB2312" w:eastAsia="仿宋_GB2312"/>
          <w:sz w:val="28"/>
          <w:szCs w:val="28"/>
          <w:lang w:val="en-US" w:eastAsia="zh-CN"/>
        </w:rPr>
        <w:fldChar w:fldCharType="end"/>
      </w:r>
      <w:r>
        <w:rPr>
          <w:rFonts w:hint="eastAsia" w:ascii="仿宋_GB2312" w:hAnsi="仿宋_GB2312" w:eastAsia="仿宋_GB2312"/>
          <w:sz w:val="28"/>
          <w:szCs w:val="28"/>
          <w:lang w:val="en-US" w:eastAsia="zh-CN"/>
        </w:rPr>
        <w:t xml:space="preserve">  网址：</w:t>
      </w:r>
      <w:r>
        <w:rPr>
          <w:rFonts w:hint="eastAsia" w:ascii="仿宋_GB2312" w:hAnsi="仿宋_GB2312" w:eastAsia="仿宋_GB2312"/>
          <w:sz w:val="28"/>
          <w:szCs w:val="28"/>
          <w:lang w:val="en-US" w:eastAsia="zh-CN"/>
        </w:rPr>
        <w:fldChar w:fldCharType="begin"/>
      </w:r>
      <w:r>
        <w:rPr>
          <w:rFonts w:hint="eastAsia" w:ascii="仿宋_GB2312" w:hAnsi="仿宋_GB2312" w:eastAsia="仿宋_GB2312"/>
          <w:sz w:val="28"/>
          <w:szCs w:val="28"/>
          <w:lang w:val="en-US" w:eastAsia="zh-CN"/>
        </w:rPr>
        <w:instrText xml:space="preserve"> HYPERLINK "http://www.qgmspxw.com" </w:instrText>
      </w:r>
      <w:r>
        <w:rPr>
          <w:rFonts w:hint="eastAsia" w:ascii="仿宋_GB2312" w:hAnsi="仿宋_GB2312" w:eastAsia="仿宋_GB2312"/>
          <w:sz w:val="28"/>
          <w:szCs w:val="28"/>
          <w:lang w:val="en-US" w:eastAsia="zh-CN"/>
        </w:rPr>
        <w:fldChar w:fldCharType="separate"/>
      </w:r>
      <w:r>
        <w:rPr>
          <w:rFonts w:hint="eastAsia" w:ascii="仿宋_GB2312" w:hAnsi="仿宋_GB2312" w:eastAsia="仿宋_GB2312"/>
          <w:sz w:val="28"/>
          <w:szCs w:val="28"/>
          <w:lang w:val="en-US" w:eastAsia="zh-CN"/>
        </w:rPr>
        <w:t>http://www.qgmspxw.com</w:t>
      </w:r>
      <w:r>
        <w:rPr>
          <w:rFonts w:hint="eastAsia" w:ascii="仿宋_GB2312" w:hAnsi="仿宋_GB2312" w:eastAsia="仿宋_GB2312"/>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240" w:firstLine="480"/>
        <w:textAlignment w:val="auto"/>
        <w:rPr>
          <w:rFonts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right"/>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全国中小学名师培训网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center"/>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 xml:space="preserve">                                         2024年5月6日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全国高中“大单元教学设计指导种子教师”高级研修班报名表</w:t>
      </w:r>
      <w:bookmarkStart w:id="1" w:name="_GoBack"/>
      <w:bookmarkEnd w:id="1"/>
    </w:p>
    <w:tbl>
      <w:tblPr>
        <w:tblStyle w:val="5"/>
        <w:tblpPr w:leftFromText="180" w:rightFromText="180" w:vertAnchor="text" w:horzAnchor="margin" w:tblpXSpec="center" w:tblpY="237"/>
        <w:tblOverlap w:val="never"/>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92"/>
        <w:gridCol w:w="705"/>
        <w:gridCol w:w="878"/>
        <w:gridCol w:w="1090"/>
        <w:gridCol w:w="2109"/>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单位名称</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纳税人识别号</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由本单位会计填写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项目名称</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备注项</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带队</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姓名</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性别</w:t>
            </w: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职务</w:t>
            </w: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电话</w:t>
            </w: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手机</w:t>
            </w: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师</w:t>
            </w: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p>
        </w:tc>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09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2109"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建议与征询</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 xml:space="preserve">您最感兴趣的研修主题是：1、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汇款方式</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开户银行：中国工商银行北京琉璃厂支行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帐户名称：</w:t>
            </w:r>
            <w:bookmarkStart w:id="0" w:name="_Hlk127947950"/>
            <w:r>
              <w:rPr>
                <w:rFonts w:hint="eastAsia" w:ascii="仿宋_GB2312" w:hAnsi="仿宋_GB2312" w:eastAsia="仿宋_GB2312"/>
                <w:sz w:val="24"/>
                <w:szCs w:val="24"/>
                <w:lang w:val="en-US" w:eastAsia="zh-CN"/>
              </w:rPr>
              <w:t>北京铭仕轩教育咨询中心</w:t>
            </w:r>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帐    号：0200 0080 0920 0037 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住宿要求</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会议地点：厦门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 xml:space="preserve">若预定酒店，请注明：入住时间           入住天数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预定间数         （预定双人间□,单人间□，可否合住□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单位意见</w:t>
            </w:r>
          </w:p>
        </w:tc>
        <w:tc>
          <w:tcPr>
            <w:tcW w:w="739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 xml:space="preserve">我单位同意选派以上  位老师参加在（厦门） 月  日“全国高中“大单元教学设计指导种子教师”高级研修班”活动。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jc w:val="right"/>
        <w:textAlignment w:val="auto"/>
        <w:rPr>
          <w:rFonts w:hint="eastAsia" w:ascii="仿宋_GB2312" w:hAnsi="仿宋_GB2312" w:eastAsia="仿宋_GB2312"/>
          <w:sz w:val="28"/>
          <w:szCs w:val="28"/>
          <w:lang w:val="en-US" w:eastAsia="zh-CN"/>
        </w:rPr>
      </w:pPr>
    </w:p>
    <w:sectPr>
      <w:footerReference r:id="rId5" w:type="default"/>
      <w:footerReference r:id="rId6" w:type="even"/>
      <w:pgSz w:w="11900" w:h="16840"/>
      <w:pgMar w:top="1701" w:right="1417" w:bottom="1417" w:left="1474"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890225557"/>
      <w:docPartObj>
        <w:docPartGallery w:val="autotext"/>
      </w:docPartObj>
    </w:sdtPr>
    <w:sdtEndPr>
      <w:rPr>
        <w:rStyle w:val="9"/>
      </w:rPr>
    </w:sdtEndPr>
    <w:sdtContent>
      <w:p>
        <w:pPr>
          <w:pStyle w:val="3"/>
          <w:framePr w:wrap="auto" w:vAnchor="text" w:hAnchor="margin" w:xAlign="center" w:y="1"/>
          <w:ind w:firstLine="360"/>
          <w:rPr>
            <w:rStyle w:val="9"/>
          </w:rP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539016577"/>
      <w:docPartObj>
        <w:docPartGallery w:val="autotext"/>
      </w:docPartObj>
    </w:sdtPr>
    <w:sdtEndPr>
      <w:rPr>
        <w:rStyle w:val="9"/>
      </w:rPr>
    </w:sdtEndPr>
    <w:sdtContent>
      <w:p>
        <w:pPr>
          <w:pStyle w:val="3"/>
          <w:framePr w:wrap="auto" w:vAnchor="text" w:hAnchor="margin" w:xAlign="center" w:y="1"/>
          <w:ind w:firstLine="360"/>
          <w:rPr>
            <w:rStyle w:val="9"/>
          </w:rPr>
        </w:pPr>
        <w:r>
          <w:rPr>
            <w:rStyle w:val="9"/>
          </w:rPr>
          <w:fldChar w:fldCharType="begin"/>
        </w:r>
        <w:r>
          <w:rPr>
            <w:rStyle w:val="9"/>
          </w:rPr>
          <w:instrText xml:space="preserve"> PAGE </w:instrText>
        </w:r>
        <w:r>
          <w:rPr>
            <w:rStyle w:val="9"/>
          </w:rPr>
          <w:fldChar w:fldCharType="end"/>
        </w:r>
      </w:p>
    </w:sdtContent>
  </w:sdt>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0"/>
  <w:bordersDoNotSurroundFooter w:val="0"/>
  <w:hideSpellingErrors/>
  <w:hideGrammaticalErrors/>
  <w:documentProtection w:enforcement="0"/>
  <w:defaultTabStop w:val="420"/>
  <w:drawingGridVerticalSpacing w:val="2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NjM3ZTlhZTlkODg4Yjc4ZTA3NWNlMDJlMWJjZjgifQ=="/>
  </w:docVars>
  <w:rsids>
    <w:rsidRoot w:val="00CC6D93"/>
    <w:rsid w:val="00054EFB"/>
    <w:rsid w:val="000641A8"/>
    <w:rsid w:val="00082F9A"/>
    <w:rsid w:val="00083A4F"/>
    <w:rsid w:val="00086C20"/>
    <w:rsid w:val="000B4CE7"/>
    <w:rsid w:val="000C7D8C"/>
    <w:rsid w:val="000E4F47"/>
    <w:rsid w:val="000F6549"/>
    <w:rsid w:val="001445D4"/>
    <w:rsid w:val="00154173"/>
    <w:rsid w:val="00165A53"/>
    <w:rsid w:val="00194D3F"/>
    <w:rsid w:val="001A6339"/>
    <w:rsid w:val="001C70ED"/>
    <w:rsid w:val="001D66FB"/>
    <w:rsid w:val="001D689F"/>
    <w:rsid w:val="001E1496"/>
    <w:rsid w:val="001E40B7"/>
    <w:rsid w:val="001F3855"/>
    <w:rsid w:val="0021057B"/>
    <w:rsid w:val="00243694"/>
    <w:rsid w:val="00277142"/>
    <w:rsid w:val="00281629"/>
    <w:rsid w:val="00330826"/>
    <w:rsid w:val="00346525"/>
    <w:rsid w:val="00355AA5"/>
    <w:rsid w:val="00362D3E"/>
    <w:rsid w:val="003A0C5A"/>
    <w:rsid w:val="003A114D"/>
    <w:rsid w:val="003A144A"/>
    <w:rsid w:val="003A1D2E"/>
    <w:rsid w:val="003A333D"/>
    <w:rsid w:val="003B76D5"/>
    <w:rsid w:val="003C1223"/>
    <w:rsid w:val="003C4678"/>
    <w:rsid w:val="003E6A8A"/>
    <w:rsid w:val="003F0519"/>
    <w:rsid w:val="003F4B8C"/>
    <w:rsid w:val="00416088"/>
    <w:rsid w:val="00433595"/>
    <w:rsid w:val="0044471B"/>
    <w:rsid w:val="00473BAB"/>
    <w:rsid w:val="004777A1"/>
    <w:rsid w:val="004818D8"/>
    <w:rsid w:val="00492E46"/>
    <w:rsid w:val="004E3E44"/>
    <w:rsid w:val="004E4E4A"/>
    <w:rsid w:val="004F2779"/>
    <w:rsid w:val="00520A38"/>
    <w:rsid w:val="00527261"/>
    <w:rsid w:val="00552E6E"/>
    <w:rsid w:val="005675FC"/>
    <w:rsid w:val="00573C83"/>
    <w:rsid w:val="00577C5E"/>
    <w:rsid w:val="0059234C"/>
    <w:rsid w:val="005B7128"/>
    <w:rsid w:val="00611235"/>
    <w:rsid w:val="00617548"/>
    <w:rsid w:val="00631FAA"/>
    <w:rsid w:val="00637F88"/>
    <w:rsid w:val="0065708E"/>
    <w:rsid w:val="00684EA5"/>
    <w:rsid w:val="006A1258"/>
    <w:rsid w:val="006E768E"/>
    <w:rsid w:val="00717459"/>
    <w:rsid w:val="00727917"/>
    <w:rsid w:val="0074644A"/>
    <w:rsid w:val="00765D25"/>
    <w:rsid w:val="00766122"/>
    <w:rsid w:val="007844A1"/>
    <w:rsid w:val="007A34CA"/>
    <w:rsid w:val="00810543"/>
    <w:rsid w:val="00835F3E"/>
    <w:rsid w:val="00837DF7"/>
    <w:rsid w:val="00874DAC"/>
    <w:rsid w:val="008F05B2"/>
    <w:rsid w:val="0091077D"/>
    <w:rsid w:val="00927E28"/>
    <w:rsid w:val="00945026"/>
    <w:rsid w:val="00946CAA"/>
    <w:rsid w:val="00951674"/>
    <w:rsid w:val="009818D4"/>
    <w:rsid w:val="009B75C8"/>
    <w:rsid w:val="009C2C3C"/>
    <w:rsid w:val="009D5646"/>
    <w:rsid w:val="009D7B34"/>
    <w:rsid w:val="009E580D"/>
    <w:rsid w:val="00A43448"/>
    <w:rsid w:val="00A50EEF"/>
    <w:rsid w:val="00A54200"/>
    <w:rsid w:val="00A61390"/>
    <w:rsid w:val="00A729CD"/>
    <w:rsid w:val="00A73D37"/>
    <w:rsid w:val="00AA6D63"/>
    <w:rsid w:val="00AC18FC"/>
    <w:rsid w:val="00AC1F8C"/>
    <w:rsid w:val="00AC5D17"/>
    <w:rsid w:val="00AE1C21"/>
    <w:rsid w:val="00B134F2"/>
    <w:rsid w:val="00B1389F"/>
    <w:rsid w:val="00B231D1"/>
    <w:rsid w:val="00B51695"/>
    <w:rsid w:val="00B61372"/>
    <w:rsid w:val="00B70A21"/>
    <w:rsid w:val="00B96938"/>
    <w:rsid w:val="00BA7418"/>
    <w:rsid w:val="00BC2818"/>
    <w:rsid w:val="00C150F5"/>
    <w:rsid w:val="00C454DE"/>
    <w:rsid w:val="00C70F5D"/>
    <w:rsid w:val="00C932EA"/>
    <w:rsid w:val="00C96426"/>
    <w:rsid w:val="00CA107D"/>
    <w:rsid w:val="00CA49F6"/>
    <w:rsid w:val="00CC1657"/>
    <w:rsid w:val="00CC1AE7"/>
    <w:rsid w:val="00CC6D93"/>
    <w:rsid w:val="00D2438B"/>
    <w:rsid w:val="00DB3C6F"/>
    <w:rsid w:val="00DE13BE"/>
    <w:rsid w:val="00E1565E"/>
    <w:rsid w:val="00E838F2"/>
    <w:rsid w:val="00E872B5"/>
    <w:rsid w:val="00E933C7"/>
    <w:rsid w:val="00EA02B8"/>
    <w:rsid w:val="00EA5581"/>
    <w:rsid w:val="00EC3070"/>
    <w:rsid w:val="00EC3130"/>
    <w:rsid w:val="00ED02FD"/>
    <w:rsid w:val="00ED76BC"/>
    <w:rsid w:val="00F4392A"/>
    <w:rsid w:val="00F46767"/>
    <w:rsid w:val="00F605B7"/>
    <w:rsid w:val="00F67D23"/>
    <w:rsid w:val="00F71577"/>
    <w:rsid w:val="00F75D1F"/>
    <w:rsid w:val="00F93E69"/>
    <w:rsid w:val="00F96C23"/>
    <w:rsid w:val="00FE6B4A"/>
    <w:rsid w:val="03690780"/>
    <w:rsid w:val="03B721E0"/>
    <w:rsid w:val="043D1E62"/>
    <w:rsid w:val="057F6DC9"/>
    <w:rsid w:val="0B7078E0"/>
    <w:rsid w:val="0FCE0E92"/>
    <w:rsid w:val="15763457"/>
    <w:rsid w:val="176E7F55"/>
    <w:rsid w:val="17B80DA5"/>
    <w:rsid w:val="1B507CEF"/>
    <w:rsid w:val="1C215E44"/>
    <w:rsid w:val="1CA707BF"/>
    <w:rsid w:val="1D1E6052"/>
    <w:rsid w:val="201E3957"/>
    <w:rsid w:val="208C753A"/>
    <w:rsid w:val="20A9497C"/>
    <w:rsid w:val="2266158B"/>
    <w:rsid w:val="23841944"/>
    <w:rsid w:val="2AB949A8"/>
    <w:rsid w:val="2B6C37C8"/>
    <w:rsid w:val="2C9C067C"/>
    <w:rsid w:val="2D6561CA"/>
    <w:rsid w:val="2DA45404"/>
    <w:rsid w:val="2EBF6305"/>
    <w:rsid w:val="2F436F36"/>
    <w:rsid w:val="32FC7B27"/>
    <w:rsid w:val="33163F6E"/>
    <w:rsid w:val="3718364E"/>
    <w:rsid w:val="372D5B7E"/>
    <w:rsid w:val="3AF90F4C"/>
    <w:rsid w:val="3CA0144F"/>
    <w:rsid w:val="3ED351AD"/>
    <w:rsid w:val="3F9F0770"/>
    <w:rsid w:val="40187DA7"/>
    <w:rsid w:val="41A317A5"/>
    <w:rsid w:val="42840E6F"/>
    <w:rsid w:val="43666F51"/>
    <w:rsid w:val="45EF1D13"/>
    <w:rsid w:val="4A266DE0"/>
    <w:rsid w:val="4AA5206A"/>
    <w:rsid w:val="4AD36908"/>
    <w:rsid w:val="4B2E419E"/>
    <w:rsid w:val="4BE54F53"/>
    <w:rsid w:val="4C6168AA"/>
    <w:rsid w:val="51815D75"/>
    <w:rsid w:val="53F70012"/>
    <w:rsid w:val="5477792D"/>
    <w:rsid w:val="56083BD6"/>
    <w:rsid w:val="58173991"/>
    <w:rsid w:val="5A231743"/>
    <w:rsid w:val="5A542BDD"/>
    <w:rsid w:val="5A5C0D28"/>
    <w:rsid w:val="5B1769FD"/>
    <w:rsid w:val="5BAE27B4"/>
    <w:rsid w:val="5BB35349"/>
    <w:rsid w:val="62D973D9"/>
    <w:rsid w:val="689D109E"/>
    <w:rsid w:val="69CD1F51"/>
    <w:rsid w:val="6ACA6640"/>
    <w:rsid w:val="6CC11C74"/>
    <w:rsid w:val="6FAD2266"/>
    <w:rsid w:val="712803E2"/>
    <w:rsid w:val="74F541B1"/>
    <w:rsid w:val="76854D0B"/>
    <w:rsid w:val="786F5C73"/>
    <w:rsid w:val="78EE0B70"/>
    <w:rsid w:val="7A0C6268"/>
    <w:rsid w:val="7CEF4719"/>
    <w:rsid w:val="7DFB7AB0"/>
    <w:rsid w:val="7EBD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1577" w:firstLineChars="200"/>
      <w:jc w:val="both"/>
    </w:pPr>
    <w:rPr>
      <w:rFonts w:ascii="Times New Roman" w:hAnsi="Times New Roman" w:eastAsia="仿宋" w:cstheme="minorBidi"/>
      <w:kern w:val="2"/>
      <w:sz w:val="28"/>
      <w:szCs w:val="24"/>
      <w:lang w:val="en-US" w:eastAsia="zh-CN" w:bidi="ar-SA"/>
    </w:rPr>
  </w:style>
  <w:style w:type="paragraph" w:styleId="2">
    <w:name w:val="heading 1"/>
    <w:basedOn w:val="1"/>
    <w:next w:val="1"/>
    <w:link w:val="11"/>
    <w:autoRedefine/>
    <w:qFormat/>
    <w:uiPriority w:val="0"/>
    <w:pPr>
      <w:keepNext/>
      <w:keepLines/>
      <w:spacing w:line="560" w:lineRule="exact"/>
      <w:ind w:firstLine="0" w:firstLineChars="0"/>
      <w:outlineLvl w:val="0"/>
    </w:pPr>
    <w:rPr>
      <w:rFonts w:ascii="Times New Roman" w:hAnsi="Times New Roman" w:eastAsia="黑体" w:cs="Times New Roman"/>
      <w:b/>
      <w:kern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5"/>
    <w:autoRedefine/>
    <w:unhideWhenUsed/>
    <w:qFormat/>
    <w:uiPriority w:val="99"/>
    <w:pPr>
      <w:tabs>
        <w:tab w:val="center" w:pos="4153"/>
        <w:tab w:val="right" w:pos="8306"/>
      </w:tabs>
      <w:snapToGrid w:val="0"/>
      <w:spacing w:line="240" w:lineRule="atLeast"/>
      <w:jc w:val="left"/>
    </w:pPr>
    <w:rPr>
      <w:sz w:val="18"/>
      <w:szCs w:val="18"/>
    </w:rPr>
  </w:style>
  <w:style w:type="paragraph" w:styleId="4">
    <w:name w:val="Normal (Web)"/>
    <w:basedOn w:val="1"/>
    <w:autoRedefine/>
    <w:qFormat/>
    <w:uiPriority w:val="0"/>
    <w:pPr>
      <w:spacing w:before="100" w:beforeAutospacing="1" w:after="100" w:afterAutospacing="1" w:line="240" w:lineRule="auto"/>
      <w:ind w:firstLine="0" w:firstLineChars="0"/>
      <w:jc w:val="left"/>
    </w:pPr>
    <w:rPr>
      <w:rFonts w:cs="Times New Roman" w:eastAsiaTheme="minorEastAsia"/>
      <w:kern w:val="0"/>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rPr>
  </w:style>
  <w:style w:type="character" w:styleId="9">
    <w:name w:val="page number"/>
    <w:basedOn w:val="7"/>
    <w:autoRedefine/>
    <w:semiHidden/>
    <w:unhideWhenUsed/>
    <w:qFormat/>
    <w:uiPriority w:val="99"/>
  </w:style>
  <w:style w:type="character" w:styleId="10">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11">
    <w:name w:val="标题 1 字符"/>
    <w:basedOn w:val="7"/>
    <w:link w:val="2"/>
    <w:autoRedefine/>
    <w:qFormat/>
    <w:uiPriority w:val="0"/>
    <w:rPr>
      <w:rFonts w:ascii="Times New Roman" w:hAnsi="Times New Roman" w:eastAsia="黑体" w:cs="Times New Roman"/>
      <w:b/>
      <w:kern w:val="44"/>
      <w:sz w:val="28"/>
    </w:rPr>
  </w:style>
  <w:style w:type="table" w:customStyle="1" w:styleId="12">
    <w:name w:val="网格型1"/>
    <w:basedOn w:val="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未处理的提及1"/>
    <w:basedOn w:val="7"/>
    <w:autoRedefine/>
    <w:qFormat/>
    <w:uiPriority w:val="99"/>
    <w:rPr>
      <w:color w:val="605E5C"/>
      <w:shd w:val="clear" w:color="auto" w:fill="E1DFDD"/>
    </w:rPr>
  </w:style>
  <w:style w:type="table" w:customStyle="1" w:styleId="14">
    <w:name w:val="网格型2"/>
    <w:basedOn w:val="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basedOn w:val="7"/>
    <w:link w:val="3"/>
    <w:autoRedefine/>
    <w:qFormat/>
    <w:uiPriority w:val="99"/>
    <w:rPr>
      <w:rFonts w:eastAsia="宋体"/>
      <w:sz w:val="18"/>
      <w:szCs w:val="18"/>
    </w:rPr>
  </w:style>
  <w:style w:type="character" w:customStyle="1" w:styleId="16">
    <w:name w:val="15"/>
    <w:basedOn w:val="7"/>
    <w:autoRedefine/>
    <w:qFormat/>
    <w:uiPriority w:val="0"/>
    <w:rPr>
      <w:rFonts w:hint="default" w:ascii="等线" w:hAnsi="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3324</Words>
  <Characters>3434</Characters>
  <Lines>57</Lines>
  <Paragraphs>16</Paragraphs>
  <TotalTime>3</TotalTime>
  <ScaleCrop>false</ScaleCrop>
  <LinksUpToDate>false</LinksUpToDate>
  <CharactersWithSpaces>3619</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2023-10-17T02:15:00Z</dcterms:created>
  <dc:creator>聂 成华</dc:creator>
  <cp:lastModifiedBy>李玲珍</cp:lastModifiedBy>
  <dcterms:modified xsi:type="dcterms:W3CDTF">2024-05-16T01:18:50Z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7B324BE9544B492C8298A28747712815_13</vt:lpwstr>
  </property>
</Properties>
</file>